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65B820">
      <w:pPr>
        <w:pStyle w:val="2"/>
        <w:keepNext/>
        <w:spacing w:after="312" w:afterLines="100"/>
        <w:jc w:val="both"/>
        <w:rPr>
          <w:rFonts w:hint="default"/>
          <w:sz w:val="32"/>
          <w:lang w:val="en-US" w:eastAsia="zh-CN"/>
        </w:rPr>
      </w:pPr>
      <w:r>
        <w:rPr>
          <w:rFonts w:hint="eastAsia"/>
          <w:sz w:val="32"/>
          <w:lang w:val="en-US" w:eastAsia="zh-CN"/>
        </w:rPr>
        <w:t>附件3</w:t>
      </w:r>
    </w:p>
    <w:p w14:paraId="0C6689F1">
      <w:pPr>
        <w:pStyle w:val="2"/>
        <w:keepNext/>
        <w:keepLines w:val="0"/>
        <w:pageBreakBefore w:val="0"/>
        <w:widowControl w:val="0"/>
        <w:kinsoku/>
        <w:wordWrap/>
        <w:overflowPunct/>
        <w:topLinePunct w:val="0"/>
        <w:autoSpaceDE/>
        <w:autoSpaceDN/>
        <w:bidi w:val="0"/>
        <w:adjustRightInd/>
        <w:snapToGrid w:val="0"/>
        <w:spacing w:line="600" w:lineRule="atLeast"/>
        <w:jc w:val="center"/>
        <w:textAlignment w:val="auto"/>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2026年阜阳职业技术学院</w:t>
      </w:r>
      <w:r>
        <w:rPr>
          <w:rFonts w:hint="eastAsia" w:ascii="方正小标宋简体" w:hAnsi="方正小标宋简体" w:eastAsia="方正小标宋简体" w:cs="方正小标宋简体"/>
          <w:sz w:val="44"/>
          <w:szCs w:val="44"/>
        </w:rPr>
        <w:t>智慧教学</w:t>
      </w:r>
      <w:r>
        <w:rPr>
          <w:rFonts w:hint="eastAsia" w:ascii="方正小标宋简体" w:hAnsi="方正小标宋简体" w:eastAsia="方正小标宋简体" w:cs="方正小标宋简体"/>
          <w:sz w:val="44"/>
          <w:szCs w:val="44"/>
          <w:lang w:val="en-US" w:eastAsia="zh-CN"/>
        </w:rPr>
        <w:t>竞赛</w:t>
      </w:r>
    </w:p>
    <w:p w14:paraId="39C7EF11">
      <w:pPr>
        <w:pStyle w:val="2"/>
        <w:keepNext/>
        <w:keepLines w:val="0"/>
        <w:pageBreakBefore w:val="0"/>
        <w:widowControl w:val="0"/>
        <w:kinsoku/>
        <w:wordWrap/>
        <w:overflowPunct/>
        <w:topLinePunct w:val="0"/>
        <w:autoSpaceDE/>
        <w:autoSpaceDN/>
        <w:bidi w:val="0"/>
        <w:adjustRightInd/>
        <w:snapToGrid w:val="0"/>
        <w:spacing w:line="600" w:lineRule="atLeas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初赛评价指标体系</w:t>
      </w:r>
    </w:p>
    <w:bookmarkEnd w:id="0"/>
    <w:p w14:paraId="3E55C113">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说明：初赛的数据只统计初赛时间内</w:t>
      </w:r>
      <w:r>
        <w:rPr>
          <w:rFonts w:hint="eastAsia" w:asciiTheme="minorEastAsia" w:hAnsiTheme="minorEastAsia" w:eastAsiaTheme="minorEastAsia" w:cstheme="minorEastAsia"/>
          <w:sz w:val="24"/>
          <w:szCs w:val="24"/>
          <w:shd w:val="clear"/>
          <w:lang w:val="en-US" w:eastAsia="zh-CN"/>
        </w:rPr>
        <w:t>（</w:t>
      </w:r>
      <w:r>
        <w:rPr>
          <w:rFonts w:hint="eastAsia" w:asciiTheme="minorEastAsia" w:hAnsiTheme="minorEastAsia" w:eastAsiaTheme="minorEastAsia" w:cstheme="minorEastAsia"/>
          <w:sz w:val="24"/>
          <w:szCs w:val="24"/>
          <w:shd w:val="clear"/>
          <w:lang w:val="en-US" w:eastAsia="zh-CN"/>
        </w:rPr>
        <w:t>5月25日—6月18日</w:t>
      </w:r>
      <w:r>
        <w:rPr>
          <w:rFonts w:hint="eastAsia" w:asciiTheme="minorEastAsia" w:hAnsiTheme="minorEastAsia" w:cstheme="minorEastAsia"/>
          <w:sz w:val="24"/>
          <w:szCs w:val="24"/>
          <w:shd w:val="clear"/>
          <w:lang w:val="en-US" w:eastAsia="zh-CN"/>
        </w:rPr>
        <w:t>）</w:t>
      </w:r>
      <w:r>
        <w:rPr>
          <w:rFonts w:hint="eastAsia" w:asciiTheme="minorEastAsia" w:hAnsiTheme="minorEastAsia" w:eastAsiaTheme="minorEastAsia" w:cstheme="minorEastAsia"/>
          <w:sz w:val="24"/>
          <w:szCs w:val="24"/>
          <w:lang w:val="en-US" w:eastAsia="zh-CN"/>
        </w:rPr>
        <w:t>增加的数据</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0"/>
        <w:gridCol w:w="6419"/>
        <w:gridCol w:w="791"/>
      </w:tblGrid>
      <w:tr w14:paraId="01AB5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310" w:type="dxa"/>
            <w:tcBorders>
              <w:top w:val="single" w:color="auto" w:sz="4" w:space="0"/>
              <w:bottom w:val="single" w:color="auto" w:sz="4" w:space="0"/>
              <w:right w:val="single" w:color="auto" w:sz="4" w:space="0"/>
            </w:tcBorders>
            <w:noWrap w:val="0"/>
            <w:vAlign w:val="center"/>
          </w:tcPr>
          <w:p w14:paraId="1AACCAAC">
            <w:pPr>
              <w:pStyle w:val="4"/>
              <w:widowControl/>
              <w:spacing w:line="360" w:lineRule="auto"/>
              <w:jc w:val="center"/>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评价指标</w:t>
            </w:r>
          </w:p>
        </w:tc>
        <w:tc>
          <w:tcPr>
            <w:tcW w:w="6419" w:type="dxa"/>
            <w:tcBorders>
              <w:top w:val="single" w:color="auto" w:sz="4" w:space="0"/>
              <w:left w:val="single" w:color="auto" w:sz="4" w:space="0"/>
              <w:bottom w:val="single" w:color="auto" w:sz="4" w:space="0"/>
              <w:right w:val="single" w:color="auto" w:sz="4" w:space="0"/>
            </w:tcBorders>
            <w:noWrap w:val="0"/>
            <w:vAlign w:val="center"/>
          </w:tcPr>
          <w:p w14:paraId="07D595DE">
            <w:pPr>
              <w:pStyle w:val="4"/>
              <w:widowControl/>
              <w:spacing w:line="360" w:lineRule="auto"/>
              <w:jc w:val="center"/>
              <w:rPr>
                <w:rStyle w:val="8"/>
                <w:rFonts w:hint="default" w:ascii="宋体" w:hAnsi="宋体" w:eastAsia="宋体" w:cs="宋体"/>
                <w:b/>
                <w:bCs/>
                <w:color w:val="auto"/>
                <w:sz w:val="24"/>
                <w:szCs w:val="24"/>
                <w:lang w:val="en-US" w:eastAsia="zh-CN"/>
              </w:rPr>
            </w:pPr>
            <w:r>
              <w:rPr>
                <w:rStyle w:val="8"/>
                <w:rFonts w:hint="eastAsia" w:ascii="宋体" w:hAnsi="宋体" w:eastAsia="宋体" w:cs="宋体"/>
                <w:b/>
                <w:bCs/>
                <w:color w:val="auto"/>
                <w:sz w:val="24"/>
                <w:szCs w:val="24"/>
                <w:lang w:val="en-US" w:eastAsia="zh-CN"/>
              </w:rPr>
              <w:t>评价标准</w:t>
            </w:r>
          </w:p>
        </w:tc>
        <w:tc>
          <w:tcPr>
            <w:tcW w:w="791" w:type="dxa"/>
            <w:tcBorders>
              <w:top w:val="single" w:color="auto" w:sz="4" w:space="0"/>
              <w:left w:val="single" w:color="auto" w:sz="4" w:space="0"/>
              <w:bottom w:val="single" w:color="auto" w:sz="4" w:space="0"/>
              <w:right w:val="single" w:color="auto" w:sz="4" w:space="0"/>
            </w:tcBorders>
            <w:noWrap w:val="0"/>
            <w:tcMar>
              <w:left w:w="105" w:type="dxa"/>
              <w:right w:w="105" w:type="dxa"/>
            </w:tcMar>
            <w:vAlign w:val="center"/>
          </w:tcPr>
          <w:p w14:paraId="77EB8739">
            <w:pPr>
              <w:pStyle w:val="4"/>
              <w:widowControl/>
              <w:spacing w:line="360" w:lineRule="auto"/>
              <w:jc w:val="center"/>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分值</w:t>
            </w:r>
          </w:p>
        </w:tc>
      </w:tr>
      <w:tr w14:paraId="78AA8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1" w:hRule="atLeast"/>
        </w:trPr>
        <w:tc>
          <w:tcPr>
            <w:tcW w:w="1310" w:type="dxa"/>
            <w:tcBorders>
              <w:top w:val="single" w:color="auto" w:sz="4" w:space="0"/>
              <w:bottom w:val="single" w:color="auto" w:sz="4" w:space="0"/>
              <w:right w:val="single" w:color="auto" w:sz="4" w:space="0"/>
            </w:tcBorders>
            <w:noWrap w:val="0"/>
            <w:vAlign w:val="center"/>
          </w:tcPr>
          <w:p w14:paraId="7CFD84E3">
            <w:pPr>
              <w:pStyle w:val="4"/>
              <w:widowControl/>
              <w:spacing w:line="360" w:lineRule="auto"/>
              <w:jc w:val="center"/>
              <w:rPr>
                <w:rFonts w:hint="default" w:ascii="仿宋" w:hAnsi="仿宋" w:eastAsia="仿宋" w:cs="仿宋"/>
                <w:b/>
                <w:bCs/>
                <w:color w:val="auto"/>
                <w:sz w:val="24"/>
                <w:szCs w:val="24"/>
                <w:lang w:val="en-US" w:eastAsia="zh-CN"/>
              </w:rPr>
            </w:pPr>
            <w:r>
              <w:rPr>
                <w:rFonts w:hint="eastAsia" w:ascii="仿宋" w:hAnsi="仿宋" w:eastAsia="仿宋" w:cs="仿宋"/>
                <w:b w:val="0"/>
                <w:bCs w:val="0"/>
                <w:color w:val="auto"/>
                <w:sz w:val="24"/>
                <w:szCs w:val="24"/>
                <w:lang w:val="en-US" w:eastAsia="zh-CN"/>
              </w:rPr>
              <w:t>知识图谱建设情况</w:t>
            </w:r>
          </w:p>
        </w:tc>
        <w:tc>
          <w:tcPr>
            <w:tcW w:w="6419" w:type="dxa"/>
            <w:tcBorders>
              <w:top w:val="single" w:color="auto" w:sz="4" w:space="0"/>
              <w:left w:val="single" w:color="auto" w:sz="4" w:space="0"/>
              <w:bottom w:val="single" w:color="auto" w:sz="4" w:space="0"/>
              <w:right w:val="single" w:color="auto" w:sz="4" w:space="0"/>
            </w:tcBorders>
            <w:noWrap w:val="0"/>
            <w:vAlign w:val="center"/>
          </w:tcPr>
          <w:p w14:paraId="338E1D46">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根据课程的知识图谱建设及关联资源情况进行打分：</w:t>
            </w:r>
          </w:p>
          <w:p w14:paraId="5EB999ED">
            <w:pP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说明：</w:t>
            </w:r>
          </w:p>
          <w:p w14:paraId="1D4B403B">
            <w:pP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问题图谱问题数</w:t>
            </w:r>
            <w:r>
              <w:rPr>
                <w:rFonts w:hint="eastAsia" w:ascii="仿宋" w:hAnsi="仿宋" w:eastAsia="仿宋" w:cs="仿宋"/>
                <w:sz w:val="24"/>
                <w:szCs w:val="24"/>
                <w:lang w:val="en-US" w:eastAsia="zh-CN"/>
              </w:rPr>
              <w:t>超过5个得4分；</w:t>
            </w:r>
          </w:p>
          <w:p w14:paraId="6E5B66D1">
            <w:pP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知识点关联章节资源数</w:t>
            </w:r>
            <w:r>
              <w:rPr>
                <w:rFonts w:hint="eastAsia" w:ascii="仿宋" w:hAnsi="仿宋" w:eastAsia="仿宋" w:cs="仿宋"/>
                <w:sz w:val="24"/>
                <w:szCs w:val="24"/>
                <w:lang w:val="en-US" w:eastAsia="zh-CN"/>
              </w:rPr>
              <w:t>超过80个得4分；</w:t>
            </w:r>
          </w:p>
          <w:p w14:paraId="5AA1CB0D">
            <w:pP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知识点关联任务点数</w:t>
            </w:r>
            <w:r>
              <w:rPr>
                <w:rFonts w:hint="eastAsia" w:ascii="仿宋" w:hAnsi="仿宋" w:eastAsia="仿宋" w:cs="仿宋"/>
                <w:sz w:val="24"/>
                <w:szCs w:val="24"/>
                <w:lang w:val="en-US" w:eastAsia="zh-CN"/>
              </w:rPr>
              <w:t>超过30个得4分；</w:t>
            </w:r>
          </w:p>
          <w:p w14:paraId="6BDBD3C7">
            <w:pP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知识点关联资料资源数</w:t>
            </w:r>
            <w:r>
              <w:rPr>
                <w:rFonts w:hint="eastAsia" w:ascii="仿宋" w:hAnsi="仿宋" w:eastAsia="仿宋" w:cs="仿宋"/>
                <w:sz w:val="24"/>
                <w:szCs w:val="24"/>
                <w:lang w:val="en-US" w:eastAsia="zh-CN"/>
              </w:rPr>
              <w:t>超过20个得4分；</w:t>
            </w:r>
          </w:p>
          <w:p w14:paraId="2B38E349">
            <w:pPr>
              <w:rPr>
                <w:rStyle w:val="8"/>
                <w:rFonts w:hint="default" w:ascii="仿宋" w:hAnsi="仿宋" w:eastAsia="仿宋" w:cs="仿宋"/>
                <w:color w:val="auto"/>
                <w:sz w:val="24"/>
                <w:szCs w:val="24"/>
                <w:lang w:val="en-US" w:eastAsia="zh-CN"/>
              </w:rPr>
            </w:pPr>
            <w:r>
              <w:rPr>
                <w:rFonts w:hint="default" w:ascii="仿宋" w:hAnsi="仿宋" w:eastAsia="仿宋" w:cs="仿宋"/>
                <w:sz w:val="24"/>
                <w:szCs w:val="24"/>
                <w:lang w:val="en-US" w:eastAsia="zh-CN"/>
              </w:rPr>
              <w:t>知识点关联试题目数</w:t>
            </w:r>
            <w:r>
              <w:rPr>
                <w:rFonts w:hint="eastAsia" w:ascii="仿宋" w:hAnsi="仿宋" w:eastAsia="仿宋" w:cs="仿宋"/>
                <w:sz w:val="24"/>
                <w:szCs w:val="24"/>
                <w:lang w:val="en-US" w:eastAsia="zh-CN"/>
              </w:rPr>
              <w:t>超过100个得4分。</w:t>
            </w:r>
          </w:p>
        </w:tc>
        <w:tc>
          <w:tcPr>
            <w:tcW w:w="791" w:type="dxa"/>
            <w:tcBorders>
              <w:top w:val="single" w:color="auto" w:sz="4" w:space="0"/>
              <w:left w:val="single" w:color="auto" w:sz="4" w:space="0"/>
              <w:bottom w:val="single" w:color="auto" w:sz="4" w:space="0"/>
              <w:right w:val="single" w:color="auto" w:sz="4" w:space="0"/>
            </w:tcBorders>
            <w:noWrap w:val="0"/>
            <w:tcMar>
              <w:left w:w="105" w:type="dxa"/>
              <w:right w:w="105" w:type="dxa"/>
            </w:tcMar>
            <w:vAlign w:val="center"/>
          </w:tcPr>
          <w:p w14:paraId="6E7E3394">
            <w:pPr>
              <w:pStyle w:val="4"/>
              <w:widowControl/>
              <w:spacing w:line="360" w:lineRule="auto"/>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20分</w:t>
            </w:r>
          </w:p>
        </w:tc>
      </w:tr>
      <w:tr w14:paraId="04C29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1" w:hRule="atLeast"/>
        </w:trPr>
        <w:tc>
          <w:tcPr>
            <w:tcW w:w="1310" w:type="dxa"/>
            <w:tcBorders>
              <w:top w:val="single" w:color="auto" w:sz="4" w:space="0"/>
              <w:bottom w:val="single" w:color="auto" w:sz="4" w:space="0"/>
              <w:right w:val="single" w:color="auto" w:sz="4" w:space="0"/>
            </w:tcBorders>
            <w:shd w:val="clear" w:color="auto" w:fill="auto"/>
            <w:noWrap w:val="0"/>
            <w:vAlign w:val="center"/>
          </w:tcPr>
          <w:p w14:paraId="111461A2">
            <w:p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AI助教使用</w:t>
            </w:r>
          </w:p>
        </w:tc>
        <w:tc>
          <w:tcPr>
            <w:tcW w:w="641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321389">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引导学生充分使用AI助教，根据助教学生使用次数进行打分：</w:t>
            </w:r>
          </w:p>
          <w:p w14:paraId="6CF1C3FF">
            <w:pPr>
              <w:rPr>
                <w:rFonts w:hint="default" w:ascii="仿宋" w:hAnsi="仿宋" w:eastAsia="仿宋" w:cs="仿宋"/>
                <w:sz w:val="24"/>
                <w:szCs w:val="24"/>
                <w:lang w:val="en-US" w:eastAsia="zh-CN"/>
              </w:rPr>
            </w:pPr>
            <w:r>
              <w:rPr>
                <w:rFonts w:hint="default" w:ascii="仿宋" w:hAnsi="仿宋" w:eastAsia="仿宋" w:cs="仿宋"/>
                <w:b/>
                <w:bCs/>
                <w:sz w:val="24"/>
                <w:szCs w:val="24"/>
                <w:lang w:val="en-US" w:eastAsia="zh-CN"/>
              </w:rPr>
              <w:t>AI助教学生会话数</w:t>
            </w:r>
            <w:r>
              <w:rPr>
                <w:rFonts w:hint="eastAsia" w:ascii="仿宋" w:hAnsi="仿宋" w:eastAsia="仿宋" w:cs="仿宋"/>
                <w:sz w:val="24"/>
                <w:szCs w:val="24"/>
                <w:lang w:val="en-US" w:eastAsia="zh-CN"/>
              </w:rPr>
              <w:t>使用次数最对的为满分20分，其他数量按照最高分比例这算。【例如最高次数为100个得分20分，第二名80个，80/100*20=16分】</w:t>
            </w:r>
          </w:p>
        </w:tc>
        <w:tc>
          <w:tcPr>
            <w:tcW w:w="791" w:type="dxa"/>
            <w:tcBorders>
              <w:top w:val="single" w:color="auto" w:sz="4" w:space="0"/>
              <w:left w:val="single" w:color="auto" w:sz="4" w:space="0"/>
              <w:bottom w:val="single" w:color="auto" w:sz="4" w:space="0"/>
              <w:right w:val="single" w:color="auto" w:sz="4" w:space="0"/>
            </w:tcBorders>
            <w:shd w:val="clear" w:color="auto" w:fill="auto"/>
            <w:noWrap w:val="0"/>
            <w:tcMar>
              <w:left w:w="105" w:type="dxa"/>
              <w:right w:w="105" w:type="dxa"/>
            </w:tcMar>
            <w:vAlign w:val="center"/>
          </w:tcPr>
          <w:p w14:paraId="4EE3CC4D">
            <w:pPr>
              <w:pStyle w:val="4"/>
              <w:widowControl/>
              <w:spacing w:line="360" w:lineRule="auto"/>
              <w:ind w:left="0" w:leftChars="0" w:right="0" w:right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20分</w:t>
            </w:r>
          </w:p>
        </w:tc>
      </w:tr>
      <w:tr w14:paraId="39970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1" w:hRule="atLeast"/>
        </w:trPr>
        <w:tc>
          <w:tcPr>
            <w:tcW w:w="1310" w:type="dxa"/>
            <w:tcBorders>
              <w:top w:val="single" w:color="auto" w:sz="4" w:space="0"/>
              <w:bottom w:val="single" w:color="auto" w:sz="4" w:space="0"/>
              <w:right w:val="single" w:color="auto" w:sz="4" w:space="0"/>
            </w:tcBorders>
            <w:shd w:val="clear" w:color="auto" w:fill="auto"/>
            <w:noWrap w:val="0"/>
            <w:vAlign w:val="center"/>
          </w:tcPr>
          <w:p w14:paraId="11DBA310">
            <w:p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AI工具使用</w:t>
            </w:r>
          </w:p>
        </w:tc>
        <w:tc>
          <w:tcPr>
            <w:tcW w:w="641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E71969A">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教师根据课程情况使用AI工具箱中的AI工具，根据使用次数进行打分：</w:t>
            </w:r>
          </w:p>
          <w:p w14:paraId="0CF5BB59">
            <w:pPr>
              <w:rPr>
                <w:rFonts w:hint="default" w:ascii="仿宋" w:hAnsi="仿宋" w:eastAsia="仿宋" w:cs="仿宋"/>
                <w:sz w:val="24"/>
                <w:szCs w:val="24"/>
                <w:lang w:val="en-US" w:eastAsia="zh-CN"/>
              </w:rPr>
            </w:pPr>
            <w:r>
              <w:rPr>
                <w:rFonts w:hint="eastAsia" w:ascii="仿宋" w:hAnsi="仿宋" w:eastAsia="仿宋" w:cs="仿宋"/>
                <w:b/>
                <w:bCs/>
                <w:sz w:val="24"/>
                <w:szCs w:val="24"/>
                <w:lang w:val="en-US" w:eastAsia="zh-CN"/>
              </w:rPr>
              <w:t>AI学情分析教师会话数、AI助教学生会话数、AI出题生成题目数、AI教案生成教案数、AI课件生成课件数、作业查重使用数、AI陪练使用数、程序题自测使用数、AI实践创建数、AI实践发放次数</w:t>
            </w:r>
            <w:r>
              <w:rPr>
                <w:rFonts w:hint="eastAsia" w:ascii="仿宋" w:hAnsi="仿宋" w:eastAsia="仿宋" w:cs="仿宋"/>
                <w:sz w:val="24"/>
                <w:szCs w:val="24"/>
                <w:lang w:val="en-US" w:eastAsia="zh-CN"/>
              </w:rPr>
              <w:t>，10种工具使用次数进行加和计算。以上工具使用次数最对的为满分20分，其他数量按照最高分比例这算。【例如最高次数为100个得分20分，第二名80个，80/100*20=16分】</w:t>
            </w:r>
          </w:p>
        </w:tc>
        <w:tc>
          <w:tcPr>
            <w:tcW w:w="791" w:type="dxa"/>
            <w:tcBorders>
              <w:top w:val="single" w:color="auto" w:sz="4" w:space="0"/>
              <w:left w:val="single" w:color="auto" w:sz="4" w:space="0"/>
              <w:bottom w:val="single" w:color="auto" w:sz="4" w:space="0"/>
              <w:right w:val="single" w:color="auto" w:sz="4" w:space="0"/>
            </w:tcBorders>
            <w:shd w:val="clear" w:color="auto" w:fill="auto"/>
            <w:noWrap w:val="0"/>
            <w:tcMar>
              <w:left w:w="105" w:type="dxa"/>
              <w:right w:w="105" w:type="dxa"/>
            </w:tcMar>
            <w:vAlign w:val="center"/>
          </w:tcPr>
          <w:p w14:paraId="2EC6274A">
            <w:pPr>
              <w:pStyle w:val="4"/>
              <w:widowControl/>
              <w:spacing w:line="360" w:lineRule="auto"/>
              <w:ind w:left="0" w:leftChars="0" w:right="0" w:right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20分</w:t>
            </w:r>
          </w:p>
        </w:tc>
      </w:tr>
      <w:tr w14:paraId="3ADD0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310" w:type="dxa"/>
            <w:tcBorders>
              <w:top w:val="single" w:color="auto" w:sz="4" w:space="0"/>
              <w:bottom w:val="single" w:color="auto" w:sz="4" w:space="0"/>
              <w:right w:val="single" w:color="auto" w:sz="4" w:space="0"/>
            </w:tcBorders>
            <w:shd w:val="clear" w:color="auto" w:fill="auto"/>
            <w:noWrap w:val="0"/>
            <w:vAlign w:val="center"/>
          </w:tcPr>
          <w:p w14:paraId="6FA987CB">
            <w:pPr>
              <w:jc w:val="center"/>
              <w:rPr>
                <w:rFonts w:hint="eastAsia" w:ascii="仿宋" w:hAnsi="仿宋" w:eastAsia="仿宋" w:cs="仿宋"/>
                <w:sz w:val="24"/>
                <w:szCs w:val="24"/>
              </w:rPr>
            </w:pPr>
            <w:r>
              <w:rPr>
                <w:rFonts w:hint="eastAsia" w:ascii="仿宋" w:hAnsi="仿宋" w:eastAsia="仿宋" w:cs="仿宋"/>
                <w:sz w:val="24"/>
                <w:szCs w:val="24"/>
              </w:rPr>
              <w:t>教学</w:t>
            </w:r>
          </w:p>
          <w:p w14:paraId="01D6A188">
            <w:pPr>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活动</w:t>
            </w:r>
          </w:p>
        </w:tc>
        <w:tc>
          <w:tcPr>
            <w:tcW w:w="641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E51D2B">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教师根据课程教学的实际情况进行充分发布不同种类的学习活动，根据</w:t>
            </w:r>
            <w:r>
              <w:rPr>
                <w:rFonts w:hint="eastAsia" w:ascii="仿宋" w:hAnsi="仿宋" w:eastAsia="仿宋" w:cs="仿宋"/>
                <w:sz w:val="24"/>
                <w:szCs w:val="24"/>
              </w:rPr>
              <w:t>教师在班级中</w:t>
            </w:r>
            <w:r>
              <w:rPr>
                <w:rFonts w:hint="eastAsia" w:ascii="仿宋" w:hAnsi="仿宋" w:eastAsia="仿宋" w:cs="仿宋"/>
                <w:sz w:val="24"/>
                <w:szCs w:val="24"/>
                <w:lang w:val="en-US" w:eastAsia="zh-CN"/>
              </w:rPr>
              <w:t>发布的学习活动类型和数量进行核算分数：</w:t>
            </w:r>
          </w:p>
          <w:p w14:paraId="1EDD691A">
            <w:pPr>
              <w:rPr>
                <w:rFonts w:hint="eastAsia" w:ascii="仿宋" w:hAnsi="仿宋" w:eastAsia="仿宋" w:cs="仿宋"/>
                <w:b/>
                <w:bCs/>
                <w:sz w:val="24"/>
                <w:szCs w:val="24"/>
              </w:rPr>
            </w:pPr>
            <w:r>
              <w:rPr>
                <w:rFonts w:hint="eastAsia" w:ascii="仿宋" w:hAnsi="仿宋" w:eastAsia="仿宋" w:cs="仿宋"/>
                <w:b/>
                <w:bCs/>
                <w:sz w:val="24"/>
                <w:szCs w:val="24"/>
              </w:rPr>
              <w:t>说明：</w:t>
            </w:r>
          </w:p>
          <w:p w14:paraId="5C2973F9">
            <w:pPr>
              <w:rPr>
                <w:rFonts w:hint="eastAsia" w:ascii="仿宋" w:hAnsi="仿宋" w:eastAsia="仿宋" w:cs="仿宋"/>
                <w:sz w:val="24"/>
                <w:szCs w:val="24"/>
              </w:rPr>
            </w:pPr>
            <w:r>
              <w:rPr>
                <w:rFonts w:hint="eastAsia" w:ascii="仿宋" w:hAnsi="仿宋" w:eastAsia="仿宋" w:cs="仿宋"/>
                <w:sz w:val="24"/>
                <w:szCs w:val="24"/>
                <w:lang w:val="en-US" w:eastAsia="zh-CN"/>
              </w:rPr>
              <w:t>1.学习活动</w:t>
            </w:r>
            <w:r>
              <w:rPr>
                <w:rFonts w:hint="eastAsia" w:ascii="仿宋" w:hAnsi="仿宋" w:eastAsia="仿宋" w:cs="仿宋"/>
                <w:sz w:val="24"/>
                <w:szCs w:val="24"/>
              </w:rPr>
              <w:t>包括利用学习通平台发布的</w:t>
            </w:r>
            <w:r>
              <w:rPr>
                <w:rFonts w:hint="eastAsia" w:ascii="仿宋" w:hAnsi="仿宋" w:eastAsia="仿宋" w:cs="仿宋"/>
                <w:b/>
                <w:bCs/>
                <w:color w:val="auto"/>
                <w:sz w:val="24"/>
                <w:szCs w:val="24"/>
                <w:lang w:val="en-US" w:eastAsia="zh-CN"/>
              </w:rPr>
              <w:t>签到、选人、随堂练习、抢答、问卷、分组任务、投票、评分、计时器</w:t>
            </w:r>
            <w:r>
              <w:rPr>
                <w:rFonts w:hint="eastAsia" w:ascii="仿宋" w:hAnsi="仿宋" w:eastAsia="仿宋" w:cs="仿宋"/>
                <w:sz w:val="24"/>
                <w:szCs w:val="24"/>
                <w:lang w:val="en-US" w:eastAsia="zh-CN"/>
              </w:rPr>
              <w:t>9种类型的学习活动；每个种类加2分，满分14分</w:t>
            </w:r>
            <w:r>
              <w:rPr>
                <w:rFonts w:hint="eastAsia" w:ascii="仿宋" w:hAnsi="仿宋" w:eastAsia="仿宋" w:cs="仿宋"/>
                <w:sz w:val="24"/>
                <w:szCs w:val="24"/>
              </w:rPr>
              <w:t>。</w:t>
            </w:r>
          </w:p>
          <w:p w14:paraId="707D5FAD">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2.活动数量分数核算方式：活动总数/班级个数得出每个班级的平均活动数，按照最高数量为满分【基准】，其他按照【基准】比例折算分数，满分26分。</w:t>
            </w:r>
          </w:p>
          <w:p w14:paraId="6AA9A603">
            <w:p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例如：A老师的活动总数/班级个数为300是最高活动数，得分26分，B老师活动总数/班级个数为260，则B老师得分260/300*26=22.53分；</w:t>
            </w:r>
          </w:p>
        </w:tc>
        <w:tc>
          <w:tcPr>
            <w:tcW w:w="791" w:type="dxa"/>
            <w:tcBorders>
              <w:top w:val="single" w:color="auto" w:sz="4" w:space="0"/>
              <w:left w:val="single" w:color="auto" w:sz="4" w:space="0"/>
              <w:bottom w:val="single" w:color="auto" w:sz="4" w:space="0"/>
              <w:right w:val="single" w:color="auto" w:sz="4" w:space="0"/>
            </w:tcBorders>
            <w:shd w:val="clear" w:color="auto" w:fill="auto"/>
            <w:noWrap w:val="0"/>
            <w:tcMar>
              <w:left w:w="105" w:type="dxa"/>
              <w:right w:w="105" w:type="dxa"/>
            </w:tcMar>
            <w:vAlign w:val="center"/>
          </w:tcPr>
          <w:p w14:paraId="0DFBAFC2">
            <w:pPr>
              <w:pStyle w:val="4"/>
              <w:widowControl/>
              <w:spacing w:line="360" w:lineRule="auto"/>
              <w:ind w:left="0" w:leftChars="0" w:right="0" w:rightChars="0"/>
              <w:jc w:val="center"/>
              <w:rPr>
                <w:rFonts w:hint="eastAsia" w:ascii="仿宋" w:hAnsi="仿宋" w:eastAsia="仿宋" w:cs="仿宋"/>
                <w:color w:val="auto"/>
                <w:kern w:val="0"/>
                <w:sz w:val="24"/>
                <w:szCs w:val="24"/>
                <w:lang w:val="en-US" w:eastAsia="zh-CN" w:bidi="ar"/>
              </w:rPr>
            </w:pPr>
            <w:r>
              <w:rPr>
                <w:rFonts w:hint="eastAsia" w:ascii="仿宋" w:hAnsi="仿宋" w:eastAsia="仿宋" w:cs="仿宋"/>
                <w:color w:val="auto"/>
                <w:sz w:val="24"/>
                <w:szCs w:val="24"/>
                <w:lang w:val="en-US" w:eastAsia="zh-CN"/>
              </w:rPr>
              <w:t>40</w:t>
            </w:r>
            <w:r>
              <w:rPr>
                <w:rFonts w:hint="eastAsia" w:ascii="仿宋" w:hAnsi="仿宋" w:eastAsia="仿宋" w:cs="仿宋"/>
                <w:color w:val="auto"/>
                <w:sz w:val="24"/>
                <w:szCs w:val="24"/>
              </w:rPr>
              <w:t>分</w:t>
            </w:r>
          </w:p>
        </w:tc>
      </w:tr>
      <w:tr w14:paraId="16754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520" w:type="dxa"/>
            <w:gridSpan w:val="3"/>
            <w:tcBorders>
              <w:top w:val="single" w:color="auto" w:sz="4" w:space="0"/>
              <w:bottom w:val="single" w:color="auto" w:sz="4" w:space="0"/>
              <w:right w:val="single" w:color="auto" w:sz="4" w:space="0"/>
            </w:tcBorders>
            <w:noWrap w:val="0"/>
            <w:vAlign w:val="center"/>
          </w:tcPr>
          <w:p w14:paraId="6ABE97CF">
            <w:pPr>
              <w:pStyle w:val="4"/>
              <w:widowControl/>
              <w:spacing w:line="240" w:lineRule="auto"/>
              <w:jc w:val="center"/>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kern w:val="2"/>
                <w:sz w:val="24"/>
                <w:szCs w:val="24"/>
                <w:lang w:val="en-US" w:eastAsia="zh-CN" w:bidi="ar-SA"/>
              </w:rPr>
              <w:t>总分=知识图谱总分+AI助教使用总分+AI工具使用总分+教学</w:t>
            </w:r>
          </w:p>
          <w:p w14:paraId="7C167217">
            <w:pPr>
              <w:pStyle w:val="4"/>
              <w:widowControl/>
              <w:spacing w:line="240" w:lineRule="auto"/>
              <w:jc w:val="center"/>
              <w:rPr>
                <w:rFonts w:hint="default" w:ascii="仿宋" w:hAnsi="仿宋" w:eastAsia="仿宋" w:cs="仿宋"/>
                <w:b/>
                <w:bCs/>
                <w:color w:val="auto"/>
                <w:kern w:val="2"/>
                <w:sz w:val="24"/>
                <w:szCs w:val="24"/>
                <w:lang w:val="en-US" w:eastAsia="zh-CN" w:bidi="ar-SA"/>
              </w:rPr>
            </w:pPr>
            <w:r>
              <w:rPr>
                <w:rFonts w:hint="eastAsia" w:ascii="仿宋" w:hAnsi="仿宋" w:eastAsia="仿宋" w:cs="仿宋"/>
                <w:b/>
                <w:bCs/>
                <w:color w:val="FF0000"/>
                <w:kern w:val="2"/>
                <w:sz w:val="24"/>
                <w:szCs w:val="24"/>
                <w:lang w:val="en-US" w:eastAsia="zh-CN" w:bidi="ar-SA"/>
              </w:rPr>
              <w:t>活动使用总分</w:t>
            </w:r>
          </w:p>
        </w:tc>
      </w:tr>
      <w:tr w14:paraId="645B2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9" w:hRule="atLeast"/>
        </w:trPr>
        <w:tc>
          <w:tcPr>
            <w:tcW w:w="8520" w:type="dxa"/>
            <w:gridSpan w:val="3"/>
            <w:tcBorders>
              <w:top w:val="single" w:color="auto" w:sz="4" w:space="0"/>
              <w:bottom w:val="single" w:color="auto" w:sz="4" w:space="0"/>
              <w:right w:val="single" w:color="auto" w:sz="4" w:space="0"/>
            </w:tcBorders>
            <w:noWrap w:val="0"/>
            <w:vAlign w:val="center"/>
          </w:tcPr>
          <w:p w14:paraId="202E378C">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left"/>
              <w:textAlignment w:val="auto"/>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说明：</w:t>
            </w:r>
          </w:p>
          <w:p w14:paraId="28CE2C81">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left"/>
              <w:textAlignment w:val="auto"/>
              <w:rPr>
                <w:rFonts w:hint="default"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1.考虑课程学时数不同，活动数量总分、课程平台点击率和讨论热度分三个评价分项按照所有参赛课程的最低学时数为基准进行折算。如在初赛时间段内，所有参赛课程的最低学时数为M，某门课程的学时数为X，则以上三项分数按照M/X进行折算。</w:t>
            </w:r>
          </w:p>
          <w:p w14:paraId="5F606612">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kern w:val="2"/>
                <w:sz w:val="24"/>
                <w:szCs w:val="24"/>
                <w:lang w:val="en-US" w:eastAsia="zh-CN" w:bidi="ar-SA"/>
              </w:rPr>
              <w:t>2.为给参赛老师提供更加公平公正的参赛环境，初赛阶段，教务处和超星技术人员会进入参赛老师教学空间进行教学数据的实际核查，一旦发现存有数据作弊情况，即刻取消参赛资格。</w:t>
            </w:r>
          </w:p>
        </w:tc>
      </w:tr>
    </w:tbl>
    <w:p w14:paraId="5178A78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dmNzJlNTYxODZlOWY4ODY0ZDZjMGMzYzkyOTk1ZWUifQ=="/>
  </w:docVars>
  <w:rsids>
    <w:rsidRoot w:val="007B4683"/>
    <w:rsid w:val="00002D9D"/>
    <w:rsid w:val="00012E2C"/>
    <w:rsid w:val="000E395D"/>
    <w:rsid w:val="00107F3E"/>
    <w:rsid w:val="001567E0"/>
    <w:rsid w:val="001958EF"/>
    <w:rsid w:val="001A0FDD"/>
    <w:rsid w:val="0024398B"/>
    <w:rsid w:val="00263013"/>
    <w:rsid w:val="002B477B"/>
    <w:rsid w:val="00312E6E"/>
    <w:rsid w:val="00415B8F"/>
    <w:rsid w:val="00434544"/>
    <w:rsid w:val="0043716B"/>
    <w:rsid w:val="004728E5"/>
    <w:rsid w:val="004828B0"/>
    <w:rsid w:val="004B6089"/>
    <w:rsid w:val="00524E8C"/>
    <w:rsid w:val="0053683E"/>
    <w:rsid w:val="005A1782"/>
    <w:rsid w:val="005B3FBF"/>
    <w:rsid w:val="00611CCB"/>
    <w:rsid w:val="00615DAC"/>
    <w:rsid w:val="00680ECC"/>
    <w:rsid w:val="00716713"/>
    <w:rsid w:val="00716D67"/>
    <w:rsid w:val="00747773"/>
    <w:rsid w:val="007B4683"/>
    <w:rsid w:val="007C5500"/>
    <w:rsid w:val="007E34CC"/>
    <w:rsid w:val="008408C1"/>
    <w:rsid w:val="00883F25"/>
    <w:rsid w:val="0089528E"/>
    <w:rsid w:val="00AC055A"/>
    <w:rsid w:val="00B00734"/>
    <w:rsid w:val="00B7320B"/>
    <w:rsid w:val="00B8361B"/>
    <w:rsid w:val="00B9193D"/>
    <w:rsid w:val="00C8508F"/>
    <w:rsid w:val="00C91663"/>
    <w:rsid w:val="00CC2807"/>
    <w:rsid w:val="00DB10C4"/>
    <w:rsid w:val="00E008A9"/>
    <w:rsid w:val="00E03B06"/>
    <w:rsid w:val="00E763D1"/>
    <w:rsid w:val="00EF45F9"/>
    <w:rsid w:val="00F00DEA"/>
    <w:rsid w:val="00F00E6D"/>
    <w:rsid w:val="00F22BEA"/>
    <w:rsid w:val="00FA7BDA"/>
    <w:rsid w:val="00FB1624"/>
    <w:rsid w:val="02085028"/>
    <w:rsid w:val="067526A6"/>
    <w:rsid w:val="0D5F5E5E"/>
    <w:rsid w:val="0F672DA8"/>
    <w:rsid w:val="100268E6"/>
    <w:rsid w:val="145823EB"/>
    <w:rsid w:val="171657DB"/>
    <w:rsid w:val="17411BB2"/>
    <w:rsid w:val="199B2591"/>
    <w:rsid w:val="1ACA1F2A"/>
    <w:rsid w:val="1EEF5198"/>
    <w:rsid w:val="21487614"/>
    <w:rsid w:val="233901C8"/>
    <w:rsid w:val="245F13F2"/>
    <w:rsid w:val="275608AF"/>
    <w:rsid w:val="2B193698"/>
    <w:rsid w:val="2D3009AD"/>
    <w:rsid w:val="2E431003"/>
    <w:rsid w:val="2ED448AD"/>
    <w:rsid w:val="37ED0850"/>
    <w:rsid w:val="3F5860E5"/>
    <w:rsid w:val="3F591E5E"/>
    <w:rsid w:val="40A92255"/>
    <w:rsid w:val="430B4E3C"/>
    <w:rsid w:val="49A14B2D"/>
    <w:rsid w:val="50D61560"/>
    <w:rsid w:val="54CA13DC"/>
    <w:rsid w:val="5A8F0EC7"/>
    <w:rsid w:val="5BB37578"/>
    <w:rsid w:val="5F590DD4"/>
    <w:rsid w:val="64414AEB"/>
    <w:rsid w:val="6AB06DBB"/>
    <w:rsid w:val="6EDD18B4"/>
    <w:rsid w:val="71214A81"/>
    <w:rsid w:val="719426FE"/>
    <w:rsid w:val="76DA47E9"/>
    <w:rsid w:val="7AB26D5B"/>
    <w:rsid w:val="7ACD0A2E"/>
    <w:rsid w:val="7B155130"/>
    <w:rsid w:val="7B2F5EE5"/>
    <w:rsid w:val="7BFA5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autoRedefine/>
    <w:unhideWhenUsed/>
    <w:qFormat/>
    <w:uiPriority w:val="35"/>
    <w:rPr>
      <w:rFonts w:eastAsia="黑体" w:asciiTheme="majorHAnsi" w:hAnsiTheme="majorHAnsi" w:cstheme="majorBidi"/>
      <w:sz w:val="20"/>
      <w:szCs w:val="20"/>
    </w:rPr>
  </w:style>
  <w:style w:type="paragraph" w:styleId="3">
    <w:name w:val="Balloon Text"/>
    <w:basedOn w:val="1"/>
    <w:link w:val="10"/>
    <w:semiHidden/>
    <w:unhideWhenUsed/>
    <w:qFormat/>
    <w:uiPriority w:val="99"/>
    <w:rPr>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autoRedefine/>
    <w:qFormat/>
    <w:uiPriority w:val="0"/>
    <w:rPr>
      <w:b/>
    </w:rPr>
  </w:style>
  <w:style w:type="paragraph" w:styleId="9">
    <w:name w:val="List Paragraph"/>
    <w:basedOn w:val="1"/>
    <w:qFormat/>
    <w:uiPriority w:val="34"/>
    <w:pPr>
      <w:ind w:firstLine="420" w:firstLineChars="200"/>
    </w:pPr>
  </w:style>
  <w:style w:type="character" w:customStyle="1" w:styleId="10">
    <w:name w:val="批注框文本 Char"/>
    <w:basedOn w:val="7"/>
    <w:link w:val="3"/>
    <w:semiHidden/>
    <w:qFormat/>
    <w:uiPriority w:val="99"/>
    <w:rPr>
      <w:sz w:val="18"/>
      <w:szCs w:val="18"/>
    </w:rPr>
  </w:style>
  <w:style w:type="table" w:customStyle="1" w:styleId="11">
    <w:name w:val="网格型1"/>
    <w:basedOn w:val="5"/>
    <w:autoRedefine/>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958</Words>
  <Characters>1050</Characters>
  <Lines>4</Lines>
  <Paragraphs>1</Paragraphs>
  <TotalTime>2</TotalTime>
  <ScaleCrop>false</ScaleCrop>
  <LinksUpToDate>false</LinksUpToDate>
  <CharactersWithSpaces>1050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2019-09-06T07:51:00Z</dcterms:created>
  <dc:creator>潘阳</dc:creator>
  <cp:lastModifiedBy>Mario</cp:lastModifiedBy>
  <cp:lastPrinted>2019-09-08T03:12:00Z</cp:lastPrinted>
  <dcterms:modified xsi:type="dcterms:W3CDTF">2026-05-18T06:46:15Z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DCD4FF2F0FE74E7681C9F3FBBFA9A845_13</vt:lpwstr>
  </property>
  <property fmtid="{D5CDD505-2E9C-101B-9397-08002B2CF9AE}" pid="4" name="KSOTemplateDocerSaveRecord">
    <vt:lpwstr>eyJoZGlkIjoiMDgyMjk0N2JmOWQ2MmQ4YmNmOTg1NmM4NTk5MzViZmMiLCJ1c2VySWQiOiI2NjAzMjMxMTIifQ==</vt:lpwstr>
  </property>
</Properties>
</file>